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270"/>
        </w:tabs>
        <w:spacing w:line="300" w:lineRule="auto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spacing w:after="156" w:afterLines="50" w:line="300" w:lineRule="auto"/>
        <w:jc w:val="center"/>
      </w:pPr>
    </w:p>
    <w:p>
      <w:pPr>
        <w:tabs>
          <w:tab w:val="left" w:pos="3270"/>
        </w:tabs>
        <w:spacing w:line="300" w:lineRule="auto"/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“课程思政”教学竞赛</w:t>
      </w:r>
      <w:r>
        <w:rPr>
          <w:rFonts w:eastAsia="方正小标宋简体"/>
          <w:sz w:val="32"/>
          <w:szCs w:val="32"/>
        </w:rPr>
        <w:t>评审标准</w:t>
      </w:r>
    </w:p>
    <w:tbl>
      <w:tblPr>
        <w:tblStyle w:val="4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5652"/>
        <w:gridCol w:w="1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评价指标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评分内容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教学设计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备课充分，精心设计教学各个环节，“工艺”精湛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知识讲授符合教育学、心理学的育人规律</w:t>
            </w:r>
            <w:r>
              <w:rPr>
                <w:rFonts w:hint="eastAsia" w:eastAsia="仿宋_GB2312" w:cs="Calibri"/>
                <w:sz w:val="28"/>
                <w:szCs w:val="32"/>
              </w:rPr>
              <w:t>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育人因素</w:t>
            </w:r>
          </w:p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挖掘转化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具有良好的专业素养、科学精神、人文情怀和马克思主义理论功底，善于提炼专业课程蕴含的育人因素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  <w:r>
              <w:rPr>
                <w:rFonts w:eastAsia="仿宋_GB2312" w:cs="Calibri"/>
                <w:sz w:val="28"/>
                <w:szCs w:val="32"/>
              </w:rPr>
              <w:t xml:space="preserve"> 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善于将思想政治教育和专业知识传授融合，把思政教育巧妙渗透教学全过程，润物无声。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教学方法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注重教学互动，突出学生主体地位，调动学生参与课堂积极性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能综合运用现代信息技术手段和数字资源，教学内容呈现恰当，满足学生学习需求，“包装时尚”。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教学效果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注重思想理论教育和价值引领，让学生感觉“营养丰富味道又好”</w:t>
            </w:r>
            <w:r>
              <w:rPr>
                <w:rFonts w:hint="eastAsia" w:eastAsia="仿宋_GB2312" w:cs="Calibri"/>
                <w:sz w:val="28"/>
                <w:szCs w:val="32"/>
              </w:rPr>
              <w:t>；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8" w:hRule="atLeast"/>
          <w:jc w:val="center"/>
        </w:trPr>
        <w:tc>
          <w:tcPr>
            <w:tcW w:w="18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教学感染力强，学生抬头听课率高，课堂氛围好。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  <w:jc w:val="center"/>
        </w:trPr>
        <w:tc>
          <w:tcPr>
            <w:tcW w:w="1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b/>
                <w:sz w:val="28"/>
                <w:szCs w:val="32"/>
              </w:rPr>
            </w:pPr>
            <w:r>
              <w:rPr>
                <w:rFonts w:eastAsia="仿宋_GB2312" w:cs="Calibri"/>
                <w:b/>
                <w:sz w:val="28"/>
                <w:szCs w:val="32"/>
              </w:rPr>
              <w:t>教师素养</w:t>
            </w:r>
          </w:p>
        </w:tc>
        <w:tc>
          <w:tcPr>
            <w:tcW w:w="5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教态大方，举止得体，精神饱满，教学投入；</w:t>
            </w:r>
          </w:p>
          <w:p>
            <w:pPr>
              <w:snapToGrid w:val="0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思路清晰，逻辑严谨，综合素质高；个人教学特色突出。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eastAsia="仿宋_GB2312" w:cs="Calibri"/>
                <w:sz w:val="28"/>
                <w:szCs w:val="32"/>
              </w:rPr>
            </w:pPr>
            <w:r>
              <w:rPr>
                <w:rFonts w:eastAsia="仿宋_GB2312" w:cs="Calibri"/>
                <w:sz w:val="28"/>
                <w:szCs w:val="32"/>
              </w:rPr>
              <w:t>10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1MTg2MDgyNGUxZGVjNDBkNTBkMTNhMTBmMGM5MDgifQ=="/>
  </w:docVars>
  <w:rsids>
    <w:rsidRoot w:val="00E36625"/>
    <w:rsid w:val="00596154"/>
    <w:rsid w:val="006C5E2B"/>
    <w:rsid w:val="00825C42"/>
    <w:rsid w:val="00E36625"/>
    <w:rsid w:val="495C5AE0"/>
    <w:rsid w:val="668A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356</Words>
  <Characters>365</Characters>
  <Lines>2</Lines>
  <Paragraphs>1</Paragraphs>
  <TotalTime>1</TotalTime>
  <ScaleCrop>false</ScaleCrop>
  <LinksUpToDate>false</LinksUpToDate>
  <CharactersWithSpaces>366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2021-04-25T02:49:00Z</dcterms:created>
  <dc:creator>李肖楠</dc:creator>
  <cp:lastModifiedBy>Administrator</cp:lastModifiedBy>
  <dcterms:modified xsi:type="dcterms:W3CDTF">2022-07-12T07:35:30Z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FF7E22D48BBA48398C5A76BEFA0DC99E</vt:lpwstr>
  </property>
</Properties>
</file>